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Coon Rapids Cardinal Little League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Gambling Budget.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March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March 2025 gambling budget will include the City of Coon Rapids required 7%. Nothing else out of the ordinary. Scott motioned to approve the March budget and Chris seconded the motion. Motion passed unanimously.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Pete motioned to accept a $10,000 donation. Scott seconded the motion and motion unanimously.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